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17AE" w14:textId="77777777" w:rsidR="00441A3B" w:rsidRDefault="00441A3B"/>
    <w:p w14:paraId="1892372F" w14:textId="3D8319B0" w:rsidR="00707829" w:rsidRPr="00750C86" w:rsidRDefault="00755F69" w:rsidP="00707829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750C86">
        <w:rPr>
          <w:b/>
          <w:sz w:val="28"/>
          <w:szCs w:val="28"/>
        </w:rPr>
        <w:t>iagnostikk av svangerskapsdiabetes</w:t>
      </w:r>
      <w:r>
        <w:rPr>
          <w:b/>
          <w:sz w:val="28"/>
          <w:szCs w:val="28"/>
        </w:rPr>
        <w:t xml:space="preserve"> - a</w:t>
      </w:r>
      <w:r w:rsidR="00750C86" w:rsidRPr="00750C86">
        <w:rPr>
          <w:b/>
          <w:sz w:val="28"/>
          <w:szCs w:val="28"/>
        </w:rPr>
        <w:t>nbefaling av p</w:t>
      </w:r>
      <w:r w:rsidR="00707829" w:rsidRPr="00750C86">
        <w:rPr>
          <w:b/>
          <w:sz w:val="28"/>
          <w:szCs w:val="28"/>
        </w:rPr>
        <w:t xml:space="preserve">røvetaking og analyse av fastende glukose </w:t>
      </w:r>
      <w:r>
        <w:rPr>
          <w:b/>
          <w:sz w:val="28"/>
          <w:szCs w:val="28"/>
        </w:rPr>
        <w:t>og</w:t>
      </w:r>
      <w:r w:rsidR="00707829" w:rsidRPr="00750C86">
        <w:rPr>
          <w:b/>
          <w:sz w:val="28"/>
          <w:szCs w:val="28"/>
        </w:rPr>
        <w:t xml:space="preserve"> glukose i fo</w:t>
      </w:r>
      <w:r>
        <w:rPr>
          <w:b/>
          <w:sz w:val="28"/>
          <w:szCs w:val="28"/>
        </w:rPr>
        <w:t>rbindelse med glukosebelastning</w:t>
      </w:r>
    </w:p>
    <w:p w14:paraId="04111E9F" w14:textId="77777777" w:rsidR="00750C86" w:rsidRDefault="00750C86" w:rsidP="00707829"/>
    <w:p w14:paraId="49E29C2F" w14:textId="77777777" w:rsidR="00750C86" w:rsidRDefault="00750C86" w:rsidP="00750C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Oppsummering </w:t>
      </w:r>
    </w:p>
    <w:p w14:paraId="158E8B26" w14:textId="77777777" w:rsidR="00750C86" w:rsidRPr="00E87CB1" w:rsidRDefault="00750C86" w:rsidP="00750C86">
      <w:pPr>
        <w:pStyle w:val="Listeavsnitt"/>
        <w:numPr>
          <w:ilvl w:val="0"/>
          <w:numId w:val="10"/>
        </w:numPr>
      </w:pPr>
      <w:r w:rsidRPr="00E87CB1">
        <w:t>Pasientnære analyseinstrumenter for glukose som brukes diagnostisk bør være anbefalt av Noklus.</w:t>
      </w:r>
    </w:p>
    <w:p w14:paraId="187CDCA4" w14:textId="77777777" w:rsidR="00750C86" w:rsidRPr="00E87CB1" w:rsidRDefault="00750C86" w:rsidP="00750C86">
      <w:pPr>
        <w:pStyle w:val="Listeavsnitt"/>
      </w:pPr>
    </w:p>
    <w:p w14:paraId="09293D06" w14:textId="2F028F72" w:rsidR="00750C86" w:rsidRPr="00E87CB1" w:rsidRDefault="00750C86" w:rsidP="00750C86">
      <w:pPr>
        <w:pStyle w:val="Listeavsnitt"/>
        <w:numPr>
          <w:ilvl w:val="0"/>
          <w:numId w:val="10"/>
        </w:numPr>
        <w:spacing w:after="120"/>
      </w:pPr>
      <w:r w:rsidRPr="00E87CB1">
        <w:t xml:space="preserve">Resultat ved analyse av Noklus’ ekstern kvalitetskontroll på </w:t>
      </w:r>
      <w:r w:rsidR="007673AE">
        <w:t>anbefalte pasientnære glukoseinstrumenter</w:t>
      </w:r>
      <w:r w:rsidRPr="00E87CB1">
        <w:t xml:space="preserve"> bør være «</w:t>
      </w:r>
      <w:r w:rsidR="000B2DA8">
        <w:t>God</w:t>
      </w:r>
      <w:r w:rsidRPr="00E87CB1">
        <w:t>»</w:t>
      </w:r>
      <w:r w:rsidR="00736C94">
        <w:t xml:space="preserve"> i diagnostisk relevant område</w:t>
      </w:r>
      <w:r w:rsidRPr="00E87CB1">
        <w:t>.</w:t>
      </w:r>
    </w:p>
    <w:p w14:paraId="0E16C090" w14:textId="77777777" w:rsidR="00750C86" w:rsidRPr="00E87CB1" w:rsidRDefault="00750C86" w:rsidP="00750C86">
      <w:pPr>
        <w:pStyle w:val="Listeavsnitt"/>
        <w:spacing w:after="0"/>
      </w:pPr>
    </w:p>
    <w:p w14:paraId="19E5FC54" w14:textId="5C153FA0" w:rsidR="00750C86" w:rsidRPr="00E87CB1" w:rsidRDefault="00750C86" w:rsidP="00750C86">
      <w:pPr>
        <w:pStyle w:val="Listeavsnitt"/>
        <w:spacing w:after="0"/>
      </w:pPr>
      <w:r w:rsidRPr="00E87CB1">
        <w:t xml:space="preserve">På laboratorier i spesialisthelsetjenesten bør resultatet ved ekstern kvalitetskontroll ikke avvike mer enn </w:t>
      </w:r>
      <w:r w:rsidRPr="00E87CB1">
        <w:rPr>
          <w:rFonts w:cstheme="minorHAnsi"/>
        </w:rPr>
        <w:t>±</w:t>
      </w:r>
      <w:r w:rsidR="00CC0754">
        <w:rPr>
          <w:rFonts w:cstheme="minorHAnsi"/>
        </w:rPr>
        <w:t xml:space="preserve"> </w:t>
      </w:r>
      <w:r w:rsidRPr="00E87CB1">
        <w:t>7,5</w:t>
      </w:r>
      <w:r w:rsidR="007673AE">
        <w:t xml:space="preserve"> </w:t>
      </w:r>
      <w:r w:rsidRPr="00E87CB1">
        <w:t>% fra fasit sporbar til referansemetode i diagnostisk relevant område.</w:t>
      </w:r>
    </w:p>
    <w:p w14:paraId="2E32DC0A" w14:textId="77777777" w:rsidR="00F108B2" w:rsidRPr="00E87CB1" w:rsidRDefault="00F108B2" w:rsidP="00750C86">
      <w:pPr>
        <w:pStyle w:val="Listeavsnitt"/>
        <w:spacing w:after="0"/>
      </w:pPr>
    </w:p>
    <w:p w14:paraId="5DFEFB14" w14:textId="11BEA8F3" w:rsidR="004277FD" w:rsidRPr="00E87CB1" w:rsidRDefault="004277FD" w:rsidP="004277FD">
      <w:pPr>
        <w:pStyle w:val="Listeavsnitt"/>
        <w:numPr>
          <w:ilvl w:val="0"/>
          <w:numId w:val="10"/>
        </w:numPr>
        <w:spacing w:after="120"/>
      </w:pPr>
      <w:r w:rsidRPr="00E87CB1">
        <w:t xml:space="preserve">Pasientnære analyseinstrumenter for glukose som brukes diagnostisk bør regelmessig overvåkes med intern kvalitetskontroll. </w:t>
      </w:r>
    </w:p>
    <w:p w14:paraId="48E3CCDB" w14:textId="77777777" w:rsidR="00405FBE" w:rsidRPr="00E87CB1" w:rsidRDefault="00405FBE" w:rsidP="0019173B">
      <w:pPr>
        <w:pStyle w:val="Listeavsnitt"/>
        <w:spacing w:after="120"/>
      </w:pPr>
    </w:p>
    <w:p w14:paraId="615BE794" w14:textId="77777777" w:rsidR="00405FBE" w:rsidRPr="00E87CB1" w:rsidRDefault="00405FBE" w:rsidP="00405FBE">
      <w:pPr>
        <w:pStyle w:val="Listeavsnitt"/>
        <w:numPr>
          <w:ilvl w:val="0"/>
          <w:numId w:val="10"/>
        </w:numPr>
        <w:spacing w:after="120"/>
      </w:pPr>
      <w:r w:rsidRPr="00E87CB1">
        <w:t>Legekontor som analyserer glukose for diagnostikk av svangerskapsdiabetes bør analysere pasientprøvene i duplikat i området nær diagnostiske beslutningsgrenser og bruke gjennomsnittsverdien til vurdering.</w:t>
      </w:r>
    </w:p>
    <w:p w14:paraId="402A0B03" w14:textId="77777777" w:rsidR="00405FBE" w:rsidRPr="00E87CB1" w:rsidRDefault="00405FBE" w:rsidP="0019173B">
      <w:pPr>
        <w:pStyle w:val="Listeavsnitt"/>
        <w:spacing w:after="120"/>
      </w:pPr>
    </w:p>
    <w:p w14:paraId="726FCE83" w14:textId="227BEE26" w:rsidR="004277FD" w:rsidRPr="00E87CB1" w:rsidRDefault="004277FD" w:rsidP="0019173B">
      <w:pPr>
        <w:pStyle w:val="Listeavsnitt"/>
        <w:spacing w:after="0"/>
      </w:pPr>
      <w:r w:rsidRPr="00E87CB1">
        <w:t xml:space="preserve">Laboratorier i spesialisthelsetjenesten bør kunne dokumentere en upresisjon fra dag til dag for intern kvalitetskontroll </w:t>
      </w:r>
      <w:r w:rsidRPr="00E87CB1">
        <w:rPr>
          <w:rFonts w:cstheme="minorHAnsi"/>
        </w:rPr>
        <w:t>≤</w:t>
      </w:r>
      <w:r w:rsidR="00CC0754">
        <w:rPr>
          <w:rFonts w:cstheme="minorHAnsi"/>
        </w:rPr>
        <w:t xml:space="preserve"> </w:t>
      </w:r>
      <w:r w:rsidRPr="00E87CB1">
        <w:t>2,5 %.</w:t>
      </w:r>
    </w:p>
    <w:p w14:paraId="66525378" w14:textId="77777777" w:rsidR="004277FD" w:rsidRPr="00E87CB1" w:rsidRDefault="004277FD" w:rsidP="0019173B">
      <w:pPr>
        <w:pStyle w:val="Listeavsnitt"/>
        <w:spacing w:after="0"/>
      </w:pPr>
    </w:p>
    <w:p w14:paraId="6CF35945" w14:textId="36F27376" w:rsidR="004277FD" w:rsidRPr="00E87CB1" w:rsidRDefault="004277FD" w:rsidP="004277FD">
      <w:pPr>
        <w:pStyle w:val="Listeavsnitt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lang w:eastAsia="nb-NO"/>
        </w:rPr>
      </w:pPr>
      <w:r w:rsidRPr="00E87CB1">
        <w:t xml:space="preserve">Ved prøvetaking i sammenheng med diagnostikk av </w:t>
      </w:r>
      <w:r w:rsidR="00405FBE" w:rsidRPr="00E87CB1">
        <w:t>svangerskaps</w:t>
      </w:r>
      <w:r w:rsidRPr="00E87CB1">
        <w:t>diabetes anbefales trombinrør</w:t>
      </w:r>
      <w:r w:rsidR="002E26E8">
        <w:t xml:space="preserve"> dersom prøven sendes til samarbeidende laboratorium. Trombinrør </w:t>
      </w:r>
      <w:r w:rsidRPr="00E87CB1">
        <w:t>sentrifugeres etter 10 min</w:t>
      </w:r>
      <w:r w:rsidR="00C720A2">
        <w:t>utter</w:t>
      </w:r>
      <w:r w:rsidRPr="00E87CB1">
        <w:t xml:space="preserve">. </w:t>
      </w:r>
      <w:r w:rsidRPr="00E87CB1">
        <w:rPr>
          <w:rFonts w:eastAsia="Times New Roman" w:cstheme="minorHAnsi"/>
          <w:color w:val="333333"/>
          <w:lang w:eastAsia="nb-NO"/>
        </w:rPr>
        <w:t>Råd fra samarbeidende laboratorium for valg av rør, prøvebehandling og forsendelse bør alltid følges.</w:t>
      </w:r>
    </w:p>
    <w:p w14:paraId="2F7E2C89" w14:textId="77777777" w:rsidR="004277FD" w:rsidRDefault="004277FD" w:rsidP="0019173B">
      <w:pPr>
        <w:pStyle w:val="Listeavsnitt"/>
        <w:spacing w:after="120"/>
        <w:rPr>
          <w:sz w:val="24"/>
          <w:szCs w:val="24"/>
        </w:rPr>
      </w:pPr>
    </w:p>
    <w:p w14:paraId="393A459E" w14:textId="77777777" w:rsidR="00713EE7" w:rsidRDefault="00713EE7" w:rsidP="00750C86">
      <w:pPr>
        <w:pStyle w:val="Listeavsnitt"/>
        <w:spacing w:after="120"/>
        <w:rPr>
          <w:sz w:val="24"/>
          <w:szCs w:val="24"/>
        </w:rPr>
      </w:pPr>
    </w:p>
    <w:p w14:paraId="3C5BC923" w14:textId="14BA8C15" w:rsidR="00707829" w:rsidRDefault="00707829" w:rsidP="00707829">
      <w:r>
        <w:t xml:space="preserve">Diagnosen svangerskapsdiabetes baseres på resultater fra måling av plasma- eller serumkonsentrasjon av fastende glukose og/eller ved glukosebelastningstest. Selve glukosemålingen og glukosebelastningen kan utføres enten på samarbeidende laboratorium eller i primærhelsetjenesten. </w:t>
      </w:r>
    </w:p>
    <w:p w14:paraId="7515995A" w14:textId="2D413F4D" w:rsidR="001C14A1" w:rsidRDefault="001C14A1" w:rsidP="001C14A1">
      <w:r>
        <w:t xml:space="preserve">Korrekt gjennomføring og prøvehåndtering ved glukosebelastningstesten er viktig. Feil prøvebehandling kan medføre at </w:t>
      </w:r>
      <w:r w:rsidR="00D92B53">
        <w:t>den gravide</w:t>
      </w:r>
      <w:r>
        <w:t xml:space="preserve"> får målt for lave </w:t>
      </w:r>
      <w:r w:rsidR="008C12AF">
        <w:t xml:space="preserve">eller for høye </w:t>
      </w:r>
      <w:r>
        <w:t xml:space="preserve">glukosekonsentrasjoner og dermed er utsatt for risiko for feil diagnose og oppfølging. </w:t>
      </w:r>
    </w:p>
    <w:p w14:paraId="58A915A5" w14:textId="64991644" w:rsidR="001C14A1" w:rsidRDefault="001C14A1" w:rsidP="001C14A1">
      <w:r>
        <w:t xml:space="preserve">De diagnostiske kriteriene for </w:t>
      </w:r>
      <w:r w:rsidR="00D92B53">
        <w:t>svangerskapsdiabetes</w:t>
      </w:r>
      <w:r>
        <w:t xml:space="preserve"> baserer seg på glukosekonsentrasjon målt i plasma. Plasma tatt på rør med gel er ikke egnet til forsendelse hvis analysering skjer mer enn 6 timer etter prøvetaking, fordi plasma fra rør med gel inneholder et relativt høyt antall celler som nedbryter glukose. I praksis er det derfor vanlig å bruke serum ved glukosebelastning som utføres på legekontor.</w:t>
      </w:r>
    </w:p>
    <w:p w14:paraId="66262D87" w14:textId="77777777" w:rsidR="00707829" w:rsidRDefault="00707829" w:rsidP="00707829"/>
    <w:p w14:paraId="61AD828F" w14:textId="77777777" w:rsidR="00707829" w:rsidRDefault="00707829" w:rsidP="00707829">
      <w:pPr>
        <w:rPr>
          <w:b/>
          <w:bCs/>
        </w:rPr>
      </w:pPr>
      <w:r w:rsidRPr="00B20210">
        <w:rPr>
          <w:b/>
          <w:bCs/>
        </w:rPr>
        <w:lastRenderedPageBreak/>
        <w:t>Forventninger til analysekvalitet</w:t>
      </w:r>
    </w:p>
    <w:p w14:paraId="5422A09E" w14:textId="77777777" w:rsidR="00D92B53" w:rsidRDefault="00D92B53" w:rsidP="00D92B53">
      <w:r>
        <w:t>Små analyseinstrumenter, såkalte p</w:t>
      </w:r>
      <w:r w:rsidRPr="00DC7C8F">
        <w:t xml:space="preserve">asientnære </w:t>
      </w:r>
      <w:r>
        <w:t>(PNA)-</w:t>
      </w:r>
      <w:r w:rsidRPr="00DC7C8F">
        <w:t>instrumenter som skal brukes diagnostisk, bør være anbefalt av Noklus. Noklus anbefaler noen PNA-instrumenter basert på dokumentert systematisk avvik i forhold til fasit fastsatt med referansemetode. Oversikt over hvilke instrumenter som anbefales av Noklus</w:t>
      </w:r>
      <w:r>
        <w:t>,</w:t>
      </w:r>
      <w:r w:rsidRPr="00DC7C8F">
        <w:t xml:space="preserve"> finnes på </w:t>
      </w:r>
      <w:r w:rsidRPr="008C5033">
        <w:t>www.noklus.no</w:t>
      </w:r>
      <w:r>
        <w:t xml:space="preserve"> – </w:t>
      </w:r>
      <w:hyperlink r:id="rId7" w:history="1">
        <w:r w:rsidRPr="008C5033">
          <w:rPr>
            <w:rStyle w:val="Hyperkobling"/>
          </w:rPr>
          <w:t>Glukose: Diagnostikk av diabetes</w:t>
        </w:r>
      </w:hyperlink>
      <w:r w:rsidRPr="00DC7C8F">
        <w:t xml:space="preserve">. </w:t>
      </w:r>
    </w:p>
    <w:p w14:paraId="4F78BA45" w14:textId="638CEEB7" w:rsidR="00D92B53" w:rsidRDefault="00D92B53" w:rsidP="00D92B53">
      <w:r w:rsidRPr="00DC7C8F">
        <w:t>Resultat ved analyse av ekstern kvalitetskontroll på PNA-instrumenter bør være «</w:t>
      </w:r>
      <w:r w:rsidR="000B2DA8">
        <w:t>God</w:t>
      </w:r>
      <w:r w:rsidRPr="00DC7C8F">
        <w:t>» i diagnostis</w:t>
      </w:r>
      <w:r>
        <w:t>k relevant område. På laboratorier i spesialisthelsetjenesten som bruker serum/plasma</w:t>
      </w:r>
      <w:r w:rsidR="00CC0754">
        <w:t>,</w:t>
      </w:r>
      <w:r>
        <w:t xml:space="preserve"> og som får sine verdier direkte vurdert mot en fasitverdi sporbar til referansemetode</w:t>
      </w:r>
      <w:r w:rsidR="00CC0754">
        <w:t>,</w:t>
      </w:r>
      <w:r>
        <w:t xml:space="preserve"> bør resultatet</w:t>
      </w:r>
      <w:r w:rsidRPr="00DC7C8F">
        <w:t xml:space="preserve"> </w:t>
      </w:r>
      <w:r>
        <w:t xml:space="preserve">ikke </w:t>
      </w:r>
      <w:r w:rsidRPr="00DC7C8F">
        <w:t xml:space="preserve">avvike mer enn </w:t>
      </w:r>
      <w:r w:rsidRPr="00DC7C8F">
        <w:rPr>
          <w:rFonts w:cstheme="minorHAnsi"/>
        </w:rPr>
        <w:t>±</w:t>
      </w:r>
      <w:r>
        <w:rPr>
          <w:rFonts w:cstheme="minorHAnsi"/>
        </w:rPr>
        <w:t xml:space="preserve"> </w:t>
      </w:r>
      <w:r w:rsidRPr="00DC7C8F">
        <w:t>7,5</w:t>
      </w:r>
      <w:r>
        <w:t xml:space="preserve"> </w:t>
      </w:r>
      <w:r w:rsidRPr="00DC7C8F">
        <w:t>% i diagnostisk relevant område.</w:t>
      </w:r>
    </w:p>
    <w:p w14:paraId="658EBFFB" w14:textId="77777777" w:rsidR="00D92B53" w:rsidRDefault="00D92B53" w:rsidP="00D92B53">
      <w:r>
        <w:t xml:space="preserve">Biologisk variasjon av fastende glukose er ca. 5 %, mens biologisk variasjon av glukose etter belastning er ca. 16 %. Dette betyr at usikkerheten i et prøvesvar som kun skyldes biologisk variasjon kan være ± 10 % for fastende glukose og ± 32 % for to timers prøven etter glukosebelastning. </w:t>
      </w:r>
    </w:p>
    <w:p w14:paraId="3FFE1D23" w14:textId="357DF20A" w:rsidR="00D92B53" w:rsidRDefault="00C20C6A" w:rsidP="00D92B53">
      <w:r>
        <w:t xml:space="preserve">Presisjonen på små analyseinstrumenter er noe dårligere enn på automatiserte storinstrumenter. Legekontor som analyserer </w:t>
      </w:r>
      <w:r w:rsidRPr="00140E0B">
        <w:t>glukose</w:t>
      </w:r>
      <w:r>
        <w:t xml:space="preserve"> for diagnostikk av svangerskapsdiabetes bør derfor analysere prøvene med glukosekonsentrasjon i områdene nær diagnostiske beslutningsgrenser i duplikat. </w:t>
      </w:r>
      <w:r w:rsidR="00D92B53">
        <w:t xml:space="preserve">Det betyr at dersom glukosekonsentrasjon ligger i intervallet </w:t>
      </w:r>
      <w:r w:rsidR="0028371A">
        <w:t>4,8</w:t>
      </w:r>
      <w:r w:rsidR="00D92B53">
        <w:t xml:space="preserve"> –</w:t>
      </w:r>
      <w:r w:rsidR="0028371A">
        <w:t xml:space="preserve"> 5,8 mmol/L eller 8,5 – 9</w:t>
      </w:r>
      <w:r w:rsidR="00D92B53">
        <w:t>,5 mmol/L bør prøven analyseres en gang til og gjennomsnittsverdien bør brukes i vurdering</w:t>
      </w:r>
      <w:r w:rsidR="00CC0754">
        <w:t xml:space="preserve"> av pasienten</w:t>
      </w:r>
      <w:r w:rsidR="00D92B53">
        <w:t>.</w:t>
      </w:r>
    </w:p>
    <w:p w14:paraId="12B09A5D" w14:textId="4C0901A2" w:rsidR="00D92B53" w:rsidRDefault="00D92B53" w:rsidP="00D92B53">
      <w:r>
        <w:t xml:space="preserve">Det anbefales at legekontor som bruker egne instrumenter til diagnostikk av </w:t>
      </w:r>
      <w:r w:rsidR="0028371A">
        <w:t>svangerskapsdiabetes</w:t>
      </w:r>
      <w:r>
        <w:t xml:space="preserve"> analyserer intern kvalitetskontroll. Dersom kontrollverdiene er utenfor grensene oppgitt fra produsent, må feilen identifiseres og rettes opp før analysen kan brukes igjen.</w:t>
      </w:r>
    </w:p>
    <w:p w14:paraId="1C1EA2AD" w14:textId="3F7B8268" w:rsidR="00D92B53" w:rsidRDefault="00C90BE1" w:rsidP="00D92B53">
      <w:r>
        <w:t>Legekontor som bruker PNA-</w:t>
      </w:r>
      <w:r w:rsidR="00D92B53">
        <w:t>instrumenter kan om ønskelig regne ut sin egen CV.</w:t>
      </w:r>
    </w:p>
    <w:p w14:paraId="5E5385DC" w14:textId="0EE827C9" w:rsidR="00D92B53" w:rsidRDefault="00D92B53" w:rsidP="00D92B53">
      <w:r>
        <w:t xml:space="preserve">Laboratorier i spesialisthelsetjenesten som analyserer </w:t>
      </w:r>
      <w:r w:rsidRPr="00140E0B">
        <w:t>glukose</w:t>
      </w:r>
      <w:r>
        <w:t xml:space="preserve"> for diagnostikk av </w:t>
      </w:r>
      <w:r w:rsidR="0028371A">
        <w:t>svangerskaps</w:t>
      </w:r>
      <w:r>
        <w:t xml:space="preserve">diabetes på automatiserte analyseinstrumenter, bør ha en upresisjon (variasjonskoeffisient, CV) fra dag til dag for intern kvalitetskontroll </w:t>
      </w:r>
      <w:r>
        <w:rPr>
          <w:rFonts w:cstheme="minorHAnsi"/>
        </w:rPr>
        <w:t xml:space="preserve">≤ </w:t>
      </w:r>
      <w:r>
        <w:t xml:space="preserve">2,5 %. </w:t>
      </w:r>
    </w:p>
    <w:p w14:paraId="28C9240D" w14:textId="04B729EE" w:rsidR="00707829" w:rsidRDefault="00707829" w:rsidP="00707829"/>
    <w:p w14:paraId="01D04EA1" w14:textId="77777777" w:rsidR="00C46795" w:rsidRDefault="00C46795" w:rsidP="00707829"/>
    <w:p w14:paraId="4778C97C" w14:textId="4A7B5BA5" w:rsidR="00707829" w:rsidRPr="00E44745" w:rsidRDefault="00CC0754" w:rsidP="00707829">
      <w:pPr>
        <w:rPr>
          <w:b/>
          <w:bCs/>
        </w:rPr>
      </w:pPr>
      <w:r>
        <w:rPr>
          <w:b/>
          <w:bCs/>
        </w:rPr>
        <w:t>A</w:t>
      </w:r>
      <w:r w:rsidR="00707829" w:rsidRPr="00E44745">
        <w:rPr>
          <w:b/>
          <w:bCs/>
        </w:rPr>
        <w:t>nalysering</w:t>
      </w:r>
      <w:r>
        <w:rPr>
          <w:b/>
          <w:bCs/>
        </w:rPr>
        <w:t xml:space="preserve"> på pasientnære instrumen</w:t>
      </w:r>
      <w:r w:rsidR="00FA5B75">
        <w:rPr>
          <w:b/>
          <w:bCs/>
        </w:rPr>
        <w:t>t</w:t>
      </w:r>
      <w:r>
        <w:rPr>
          <w:b/>
          <w:bCs/>
        </w:rPr>
        <w:t>er</w:t>
      </w:r>
    </w:p>
    <w:p w14:paraId="7FD66DD0" w14:textId="38628933" w:rsidR="00707829" w:rsidRDefault="00707829" w:rsidP="00707829">
      <w:r>
        <w:t>Prøver til diagnostikk av svangerskapsdiabetes kan analyseres lokalt på pasientnære analyseinstrumenter dersom instrumentene har god nok kvalitet – se forvent</w:t>
      </w:r>
      <w:r w:rsidR="00FA5B75">
        <w:t>n</w:t>
      </w:r>
      <w:r>
        <w:t>inger til analysekvalitet ovenfor.</w:t>
      </w:r>
    </w:p>
    <w:p w14:paraId="603FC79C" w14:textId="206B7CF3" w:rsidR="00707829" w:rsidRDefault="00707829" w:rsidP="00707829">
      <w:r>
        <w:t>Laboratorier i primærh</w:t>
      </w:r>
      <w:r w:rsidR="009124F9">
        <w:t>elsetjenesten må delta i Noklus sitt</w:t>
      </w:r>
      <w:r>
        <w:t xml:space="preserve"> eksterne kvalitetskontroll</w:t>
      </w:r>
      <w:r w:rsidR="00760CEE">
        <w:t>program</w:t>
      </w:r>
      <w:r>
        <w:t xml:space="preserve"> for glukose for å dokumentere analysekvaliteten.</w:t>
      </w:r>
    </w:p>
    <w:p w14:paraId="7CDD567A" w14:textId="77777777" w:rsidR="00707829" w:rsidRDefault="00707829" w:rsidP="00707829">
      <w:r>
        <w:rPr>
          <w:u w:val="single"/>
        </w:rPr>
        <w:t>F</w:t>
      </w:r>
      <w:r w:rsidRPr="007E4B48">
        <w:rPr>
          <w:u w:val="single"/>
        </w:rPr>
        <w:t>astende glukose</w:t>
      </w:r>
      <w:r>
        <w:t xml:space="preserve"> måles lokalt i blodprøver tatt kapillært. I fastende tilstand er glukosekonsentrasjonen i kapillært blod omtrent lik venøst blod.</w:t>
      </w:r>
    </w:p>
    <w:p w14:paraId="524B8506" w14:textId="1409C720" w:rsidR="00707829" w:rsidRPr="00B20210" w:rsidRDefault="00707829" w:rsidP="00707829">
      <w:pPr>
        <w:spacing w:after="0"/>
        <w:rPr>
          <w:strike/>
        </w:rPr>
      </w:pPr>
      <w:r w:rsidRPr="00134371">
        <w:rPr>
          <w:u w:val="single"/>
        </w:rPr>
        <w:t>Etter glukosebelastning</w:t>
      </w:r>
      <w:r>
        <w:t xml:space="preserve"> er det forskjell i glukosekonsentrasjonen</w:t>
      </w:r>
      <w:r w:rsidR="009124F9">
        <w:t xml:space="preserve"> i kapillært og venøst blod. Ved</w:t>
      </w:r>
      <w:r>
        <w:t xml:space="preserve"> diagnostikk av svangerskapsdiabetes med pasientnære instrumenter må glukose etter glukosebelastning (2 timer) derfor analyseres i venøst </w:t>
      </w:r>
      <w:r w:rsidRPr="001A49C6">
        <w:t>EDTA- eller heparin-fullblod</w:t>
      </w:r>
      <w:r>
        <w:t xml:space="preserve">, mens den </w:t>
      </w:r>
      <w:r w:rsidR="00747FF2">
        <w:t>fastende</w:t>
      </w:r>
      <w:r>
        <w:t xml:space="preserve"> prøven altså kan måles i kapillærblod. </w:t>
      </w:r>
    </w:p>
    <w:p w14:paraId="363B1704" w14:textId="77777777" w:rsidR="00707829" w:rsidRDefault="00707829" w:rsidP="00707829"/>
    <w:p w14:paraId="13EEB425" w14:textId="77777777" w:rsidR="00707829" w:rsidRDefault="00707829" w:rsidP="00707829"/>
    <w:p w14:paraId="4781B20D" w14:textId="00BC8ED9" w:rsidR="00707829" w:rsidRPr="00574F5C" w:rsidRDefault="00707829" w:rsidP="00707829">
      <w:pPr>
        <w:rPr>
          <w:b/>
          <w:bCs/>
        </w:rPr>
      </w:pPr>
      <w:r w:rsidRPr="00574F5C">
        <w:rPr>
          <w:b/>
          <w:bCs/>
        </w:rPr>
        <w:t xml:space="preserve">Analysering </w:t>
      </w:r>
      <w:r w:rsidR="00FA5B75">
        <w:rPr>
          <w:b/>
          <w:bCs/>
        </w:rPr>
        <w:t>hos</w:t>
      </w:r>
      <w:r w:rsidRPr="00574F5C">
        <w:rPr>
          <w:b/>
          <w:bCs/>
        </w:rPr>
        <w:t xml:space="preserve"> samarbeidende laboratorium</w:t>
      </w:r>
    </w:p>
    <w:p w14:paraId="559888EB" w14:textId="063DB631" w:rsidR="00707829" w:rsidRPr="00077B31" w:rsidRDefault="00707829" w:rsidP="00707829">
      <w:r w:rsidRPr="00077B31">
        <w:t>Laboratorier i primærhelsetjenesten som ikke tilfredsstiller forventninger til analysekvalitet</w:t>
      </w:r>
      <w:r w:rsidR="009124F9">
        <w:t>,</w:t>
      </w:r>
      <w:r w:rsidRPr="00077B31">
        <w:t xml:space="preserve"> </w:t>
      </w:r>
      <w:r w:rsidR="00546A5A">
        <w:t>bør</w:t>
      </w:r>
      <w:r w:rsidR="00546A5A" w:rsidRPr="00077B31">
        <w:t xml:space="preserve"> </w:t>
      </w:r>
      <w:r w:rsidRPr="00077B31">
        <w:t xml:space="preserve">sende alle </w:t>
      </w:r>
      <w:r w:rsidRPr="00FF7A4B">
        <w:t xml:space="preserve">prøver (fastende og to timers prøve) for </w:t>
      </w:r>
      <w:r w:rsidRPr="00077B31">
        <w:t>analysering til samarbeidende laboratorium</w:t>
      </w:r>
      <w:r w:rsidR="00747FF2">
        <w:t>.</w:t>
      </w:r>
      <w:r>
        <w:t xml:space="preserve"> </w:t>
      </w:r>
    </w:p>
    <w:p w14:paraId="3F80CE17" w14:textId="49928815" w:rsidR="00707829" w:rsidRDefault="00707829" w:rsidP="00707829">
      <w:r>
        <w:t xml:space="preserve">Venøse blodprøver til analyse av glukosekonsentrasjonen fastende og etter glukosebelastning </w:t>
      </w:r>
      <w:r w:rsidR="00553A6C">
        <w:t xml:space="preserve">bør </w:t>
      </w:r>
      <w:r>
        <w:t xml:space="preserve">tas på trombinrør (serumrør som inneholder bl.a. trombin som aktivator) som sentrifugeres etter </w:t>
      </w:r>
      <w:r w:rsidR="00E85519">
        <w:br/>
      </w:r>
      <w:r w:rsidR="00BF4581">
        <w:t>10</w:t>
      </w:r>
      <w:r>
        <w:t xml:space="preserve"> min</w:t>
      </w:r>
      <w:r w:rsidR="00E85519">
        <w:t>utter</w:t>
      </w:r>
      <w:r>
        <w:t xml:space="preserve">. </w:t>
      </w:r>
      <w:r w:rsidR="00E1461F" w:rsidRPr="00A50DD0">
        <w:t xml:space="preserve">Dersom prøven sentrifugeres </w:t>
      </w:r>
      <w:r w:rsidR="00E1461F">
        <w:t>senere</w:t>
      </w:r>
      <w:r w:rsidR="00E1461F" w:rsidRPr="00C80125">
        <w:t xml:space="preserve"> </w:t>
      </w:r>
      <w:r w:rsidR="00E1461F">
        <w:t xml:space="preserve">vil </w:t>
      </w:r>
      <w:r w:rsidR="00E1461F" w:rsidRPr="00A50DD0">
        <w:t>glukosekonsentrasjon</w:t>
      </w:r>
      <w:r w:rsidR="00E1461F">
        <w:t xml:space="preserve">en bli signifikant lavere pga. pågående nedbryting av glukose i cellene. </w:t>
      </w:r>
      <w:r>
        <w:t>Glukose har tilstrekkelig holdbarhet etter sentrifugering</w:t>
      </w:r>
      <w:r w:rsidR="00CB764A">
        <w:t xml:space="preserve"> og kan analyseres innen fem dager. Trombinrør er egnet for prøvetaking både innenfor sykehus og utenfor sykehus der det kreves transport til samarbeidende laboratorium.</w:t>
      </w:r>
    </w:p>
    <w:p w14:paraId="4B6F27AA" w14:textId="4DC09CC5" w:rsidR="00707829" w:rsidRDefault="00AC77B3" w:rsidP="00707829">
      <w:r>
        <w:t xml:space="preserve">I spesialisthelsetjenesten kan det være en logistisk utfordring å sentrifugere prøvene på anbefalt tidspunkt. </w:t>
      </w:r>
      <w:r w:rsidR="00707829">
        <w:t>Dersom prøvene ikke kan sentrifugeres på de</w:t>
      </w:r>
      <w:r w:rsidR="00E1461F">
        <w:t>t</w:t>
      </w:r>
      <w:r w:rsidR="00707829">
        <w:t xml:space="preserve"> oppgitte tidspunkte</w:t>
      </w:r>
      <w:r w:rsidR="00E1461F">
        <w:t>t</w:t>
      </w:r>
      <w:r w:rsidR="009124F9">
        <w:t>,</w:t>
      </w:r>
      <w:r w:rsidR="00707829">
        <w:t xml:space="preserve"> an</w:t>
      </w:r>
      <w:r>
        <w:t>befales bruk av plasmarør</w:t>
      </w:r>
      <w:r w:rsidR="00707829">
        <w:t xml:space="preserve"> tilsatt </w:t>
      </w:r>
      <w:r>
        <w:t xml:space="preserve">en </w:t>
      </w:r>
      <w:r w:rsidR="00707829">
        <w:t>blanding av fluorid og citrat (FC-rør). Fluorid-citrat blandingen stopper nedbryting av glukose umiddelbart og sentrifugering kan utsettes inntil 24 timer. Det har blitt rapportert problemer med oppløsning av FC-tørrstoffet som medfører redusert holdbarhet av glukose. Siden det kan være vanskelig å løse opp tørrstoffet</w:t>
      </w:r>
      <w:r w:rsidR="009124F9">
        <w:t>,</w:t>
      </w:r>
      <w:r w:rsidR="00707829">
        <w:t xml:space="preserve"> anbefales FC-prøverør ikke til forsendelse til samarbeidende laboratorium. </w:t>
      </w:r>
    </w:p>
    <w:p w14:paraId="3215E802" w14:textId="796EFD9D" w:rsidR="00546A5A" w:rsidRPr="00947DB3" w:rsidRDefault="00DB3962" w:rsidP="00546A5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333333"/>
          <w:lang w:eastAsia="nb-NO"/>
        </w:rPr>
      </w:pPr>
      <w:r w:rsidRPr="00947DB3">
        <w:rPr>
          <w:rFonts w:eastAsia="Times New Roman" w:cstheme="minorHAnsi"/>
          <w:b/>
          <w:color w:val="333333"/>
          <w:lang w:eastAsia="nb-NO"/>
        </w:rPr>
        <w:t>R</w:t>
      </w:r>
      <w:r w:rsidR="00546A5A" w:rsidRPr="00947DB3">
        <w:rPr>
          <w:rFonts w:eastAsia="Times New Roman" w:cstheme="minorHAnsi"/>
          <w:b/>
          <w:color w:val="333333"/>
          <w:lang w:eastAsia="nb-NO"/>
        </w:rPr>
        <w:t>åd fra samarbeidende laboratorium for valg av rør, prøvebehandling og forsendelse</w:t>
      </w:r>
      <w:r w:rsidRPr="00947DB3">
        <w:rPr>
          <w:rFonts w:eastAsia="Times New Roman" w:cstheme="minorHAnsi"/>
          <w:b/>
          <w:color w:val="333333"/>
          <w:lang w:eastAsia="nb-NO"/>
        </w:rPr>
        <w:t xml:space="preserve"> bør alltid følges</w:t>
      </w:r>
      <w:r w:rsidR="00546A5A" w:rsidRPr="00947DB3">
        <w:rPr>
          <w:rFonts w:eastAsia="Times New Roman" w:cstheme="minorHAnsi"/>
          <w:b/>
          <w:color w:val="333333"/>
          <w:lang w:eastAsia="nb-NO"/>
        </w:rPr>
        <w:t>.</w:t>
      </w:r>
    </w:p>
    <w:p w14:paraId="35984A7D" w14:textId="77777777" w:rsidR="00546A5A" w:rsidRDefault="00546A5A" w:rsidP="00707829"/>
    <w:p w14:paraId="1A08D562" w14:textId="77777777" w:rsidR="00707829" w:rsidRDefault="00707829" w:rsidP="00707829"/>
    <w:p w14:paraId="5FEED872" w14:textId="77777777" w:rsidR="00707829" w:rsidRDefault="00707829" w:rsidP="00707829">
      <w:pPr>
        <w:spacing w:after="0"/>
      </w:pPr>
    </w:p>
    <w:p w14:paraId="4D46E228" w14:textId="77777777" w:rsidR="007171C4" w:rsidRDefault="007171C4">
      <w:pPr>
        <w:rPr>
          <w:b/>
          <w:sz w:val="24"/>
          <w:szCs w:val="24"/>
        </w:rPr>
      </w:pPr>
    </w:p>
    <w:sectPr w:rsidR="007171C4" w:rsidSect="00780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4F58" w14:textId="77777777" w:rsidR="009B6EC4" w:rsidRDefault="009B6EC4" w:rsidP="00A50DD0">
      <w:pPr>
        <w:spacing w:after="0" w:line="240" w:lineRule="auto"/>
      </w:pPr>
      <w:r>
        <w:separator/>
      </w:r>
    </w:p>
  </w:endnote>
  <w:endnote w:type="continuationSeparator" w:id="0">
    <w:p w14:paraId="6962F53C" w14:textId="77777777" w:rsidR="009B6EC4" w:rsidRDefault="009B6EC4" w:rsidP="00A5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E04A" w14:textId="77777777" w:rsidR="00D2684D" w:rsidRDefault="00D2684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C9B4" w14:textId="777B2077" w:rsidR="00780F2C" w:rsidRDefault="00780F2C" w:rsidP="00780F2C">
    <w:pPr>
      <w:pStyle w:val="Bunntekst"/>
    </w:pPr>
    <w:r w:rsidRPr="00144551">
      <w:rPr>
        <w:color w:val="00AFDB"/>
      </w:rPr>
      <w:t>Norsk kvalitetsforbedring av laboratorieundersøkelser</w:t>
    </w:r>
    <w:r>
      <w:t xml:space="preserve">                                                                  Side </w:t>
    </w:r>
    <w:r>
      <w:fldChar w:fldCharType="begin"/>
    </w:r>
    <w:r>
      <w:instrText>PAGE   \* MERGEFORMAT</w:instrText>
    </w:r>
    <w:r>
      <w:fldChar w:fldCharType="separate"/>
    </w:r>
    <w:r w:rsidR="00BA3228">
      <w:rPr>
        <w:noProof/>
      </w:rPr>
      <w:t>1</w:t>
    </w:r>
    <w:r>
      <w:fldChar w:fldCharType="end"/>
    </w:r>
    <w:r>
      <w:t xml:space="preserve"> av </w:t>
    </w:r>
    <w:r w:rsidR="000B2DA8">
      <w:t>3</w:t>
    </w:r>
  </w:p>
  <w:p w14:paraId="12B8A44F" w14:textId="6E205904" w:rsidR="00780F2C" w:rsidRDefault="00780F2C" w:rsidP="00780F2C">
    <w:pPr>
      <w:pStyle w:val="Bunntekst"/>
    </w:pPr>
    <w:r w:rsidRPr="00BA1A04">
      <w:rPr>
        <w:rFonts w:cstheme="minorHAnsi"/>
        <w:color w:val="00AFDB"/>
      </w:rPr>
      <w:t>©</w:t>
    </w:r>
    <w:r w:rsidRPr="00BA1A04">
      <w:rPr>
        <w:color w:val="00AFDB"/>
      </w:rPr>
      <w:t xml:space="preserve"> Alle rettigheter Noklus </w:t>
    </w:r>
    <w:r>
      <w:tab/>
    </w:r>
    <w:r>
      <w:tab/>
    </w:r>
  </w:p>
  <w:p w14:paraId="048D77E5" w14:textId="474CA82A" w:rsidR="00780F2C" w:rsidRDefault="00780F2C" w:rsidP="00780F2C">
    <w:pPr>
      <w:pStyle w:val="Bunntekst"/>
    </w:pPr>
  </w:p>
  <w:p w14:paraId="2B527E2F" w14:textId="77777777" w:rsidR="00780F2C" w:rsidRDefault="00780F2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61C8" w14:textId="77777777" w:rsidR="00D2684D" w:rsidRDefault="00D2684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1BE7" w14:textId="77777777" w:rsidR="009B6EC4" w:rsidRDefault="009B6EC4" w:rsidP="00A50DD0">
      <w:pPr>
        <w:spacing w:after="0" w:line="240" w:lineRule="auto"/>
      </w:pPr>
      <w:r>
        <w:separator/>
      </w:r>
    </w:p>
  </w:footnote>
  <w:footnote w:type="continuationSeparator" w:id="0">
    <w:p w14:paraId="1236B9BA" w14:textId="77777777" w:rsidR="009B6EC4" w:rsidRDefault="009B6EC4" w:rsidP="00A50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2F31" w14:textId="77777777" w:rsidR="00D2684D" w:rsidRDefault="00D2684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C821" w14:textId="74E155BE" w:rsidR="00780F2C" w:rsidRDefault="00780F2C" w:rsidP="00780F2C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2BF29BE1" wp14:editId="1552CCCD">
          <wp:simplePos x="0" y="0"/>
          <wp:positionH relativeFrom="margin">
            <wp:align>right</wp:align>
          </wp:positionH>
          <wp:positionV relativeFrom="paragraph">
            <wp:posOffset>-164465</wp:posOffset>
          </wp:positionV>
          <wp:extent cx="1774825" cy="575945"/>
          <wp:effectExtent l="0" t="0" r="0" b="0"/>
          <wp:wrapSquare wrapText="bothSides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klus_visjon 2017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64"/>
                  <a:stretch/>
                </pic:blipFill>
                <pic:spPr bwMode="auto">
                  <a:xfrm>
                    <a:off x="0" y="0"/>
                    <a:ext cx="1774825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E2BDF">
      <w:t xml:space="preserve">Versjon </w:t>
    </w:r>
    <w:r w:rsidR="000B2DA8">
      <w:t>3</w:t>
    </w:r>
    <w:r w:rsidR="001E2BDF">
      <w:t>.0</w:t>
    </w:r>
    <w:r>
      <w:tab/>
    </w:r>
    <w:r>
      <w:tab/>
    </w:r>
  </w:p>
  <w:p w14:paraId="72638ED6" w14:textId="67B289F1" w:rsidR="00780F2C" w:rsidRDefault="00780F2C" w:rsidP="00780F2C">
    <w:pPr>
      <w:pStyle w:val="Topptekst"/>
    </w:pPr>
    <w:r>
      <w:t xml:space="preserve">Publisert </w:t>
    </w:r>
    <w:r w:rsidR="00D2684D">
      <w:t>01</w:t>
    </w:r>
    <w:r w:rsidR="00474353">
      <w:t>.0</w:t>
    </w:r>
    <w:r w:rsidR="00D2684D">
      <w:t>5</w:t>
    </w:r>
    <w:r w:rsidR="001E2BDF">
      <w:t>.202</w:t>
    </w:r>
    <w:r w:rsidR="000B2DA8">
      <w:t>3</w:t>
    </w:r>
  </w:p>
  <w:p w14:paraId="672AA010" w14:textId="0697389D" w:rsidR="00A50DD0" w:rsidRDefault="00A50DD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29F0" w14:textId="77777777" w:rsidR="00D2684D" w:rsidRDefault="00D2684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BF"/>
    <w:multiLevelType w:val="hybridMultilevel"/>
    <w:tmpl w:val="E310704C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D3222"/>
    <w:multiLevelType w:val="hybridMultilevel"/>
    <w:tmpl w:val="C8EEFFA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2B8F"/>
    <w:multiLevelType w:val="multilevel"/>
    <w:tmpl w:val="8388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45AA2"/>
    <w:multiLevelType w:val="multilevel"/>
    <w:tmpl w:val="78CC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61617"/>
    <w:multiLevelType w:val="multilevel"/>
    <w:tmpl w:val="332E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030CB"/>
    <w:multiLevelType w:val="hybridMultilevel"/>
    <w:tmpl w:val="4F747A9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C116D"/>
    <w:multiLevelType w:val="hybridMultilevel"/>
    <w:tmpl w:val="5E7298F6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45B1"/>
    <w:multiLevelType w:val="hybridMultilevel"/>
    <w:tmpl w:val="EAFE947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760D7"/>
    <w:multiLevelType w:val="multilevel"/>
    <w:tmpl w:val="E46C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CC4FA4"/>
    <w:multiLevelType w:val="multilevel"/>
    <w:tmpl w:val="0B4A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7B6EA4"/>
    <w:multiLevelType w:val="multilevel"/>
    <w:tmpl w:val="C062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0057419">
    <w:abstractNumId w:val="3"/>
  </w:num>
  <w:num w:numId="2" w16cid:durableId="274559066">
    <w:abstractNumId w:val="8"/>
  </w:num>
  <w:num w:numId="3" w16cid:durableId="919480759">
    <w:abstractNumId w:val="9"/>
  </w:num>
  <w:num w:numId="4" w16cid:durableId="2123957366">
    <w:abstractNumId w:val="2"/>
  </w:num>
  <w:num w:numId="5" w16cid:durableId="1232810084">
    <w:abstractNumId w:val="4"/>
  </w:num>
  <w:num w:numId="6" w16cid:durableId="1720546457">
    <w:abstractNumId w:val="10"/>
  </w:num>
  <w:num w:numId="7" w16cid:durableId="2051032621">
    <w:abstractNumId w:val="5"/>
  </w:num>
  <w:num w:numId="8" w16cid:durableId="1129979785">
    <w:abstractNumId w:val="7"/>
  </w:num>
  <w:num w:numId="9" w16cid:durableId="174685722">
    <w:abstractNumId w:val="1"/>
  </w:num>
  <w:num w:numId="10" w16cid:durableId="1944608887">
    <w:abstractNumId w:val="0"/>
  </w:num>
  <w:num w:numId="11" w16cid:durableId="1485703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62"/>
    <w:rsid w:val="00007B7B"/>
    <w:rsid w:val="00015281"/>
    <w:rsid w:val="000168A5"/>
    <w:rsid w:val="0003359D"/>
    <w:rsid w:val="0004010B"/>
    <w:rsid w:val="00040419"/>
    <w:rsid w:val="00040AED"/>
    <w:rsid w:val="00043115"/>
    <w:rsid w:val="0005362E"/>
    <w:rsid w:val="00054964"/>
    <w:rsid w:val="0006737F"/>
    <w:rsid w:val="00077B31"/>
    <w:rsid w:val="000863D6"/>
    <w:rsid w:val="000874C5"/>
    <w:rsid w:val="00093DA5"/>
    <w:rsid w:val="00095DAE"/>
    <w:rsid w:val="000A0109"/>
    <w:rsid w:val="000B2DA8"/>
    <w:rsid w:val="000B674F"/>
    <w:rsid w:val="000B770F"/>
    <w:rsid w:val="000C1604"/>
    <w:rsid w:val="000C4370"/>
    <w:rsid w:val="000C4402"/>
    <w:rsid w:val="000C78DA"/>
    <w:rsid w:val="000D6D4C"/>
    <w:rsid w:val="000E4302"/>
    <w:rsid w:val="000E4B82"/>
    <w:rsid w:val="000E5465"/>
    <w:rsid w:val="000F07E7"/>
    <w:rsid w:val="000F0D9F"/>
    <w:rsid w:val="000F0DD1"/>
    <w:rsid w:val="000F29B6"/>
    <w:rsid w:val="000F5424"/>
    <w:rsid w:val="000F546E"/>
    <w:rsid w:val="000F73CC"/>
    <w:rsid w:val="00110886"/>
    <w:rsid w:val="00115685"/>
    <w:rsid w:val="001159B9"/>
    <w:rsid w:val="00122E69"/>
    <w:rsid w:val="0013010B"/>
    <w:rsid w:val="00134371"/>
    <w:rsid w:val="00136837"/>
    <w:rsid w:val="0013760B"/>
    <w:rsid w:val="00140C0F"/>
    <w:rsid w:val="00140E0B"/>
    <w:rsid w:val="00142EF2"/>
    <w:rsid w:val="00147D41"/>
    <w:rsid w:val="00154F1B"/>
    <w:rsid w:val="00155A12"/>
    <w:rsid w:val="0017309B"/>
    <w:rsid w:val="0017463C"/>
    <w:rsid w:val="00177C04"/>
    <w:rsid w:val="001820DA"/>
    <w:rsid w:val="00185E69"/>
    <w:rsid w:val="00186142"/>
    <w:rsid w:val="001875AB"/>
    <w:rsid w:val="0019173B"/>
    <w:rsid w:val="00193943"/>
    <w:rsid w:val="00196EA4"/>
    <w:rsid w:val="00197924"/>
    <w:rsid w:val="001A19BC"/>
    <w:rsid w:val="001A336E"/>
    <w:rsid w:val="001A49C6"/>
    <w:rsid w:val="001B52FB"/>
    <w:rsid w:val="001C14A1"/>
    <w:rsid w:val="001D2FE1"/>
    <w:rsid w:val="001D550F"/>
    <w:rsid w:val="001E2BDF"/>
    <w:rsid w:val="001E53E0"/>
    <w:rsid w:val="001F4650"/>
    <w:rsid w:val="001F46F2"/>
    <w:rsid w:val="001F5B42"/>
    <w:rsid w:val="00201E64"/>
    <w:rsid w:val="002051AB"/>
    <w:rsid w:val="002074B1"/>
    <w:rsid w:val="00212908"/>
    <w:rsid w:val="0022152B"/>
    <w:rsid w:val="0022186E"/>
    <w:rsid w:val="00227F1B"/>
    <w:rsid w:val="00230228"/>
    <w:rsid w:val="00235409"/>
    <w:rsid w:val="00246AB6"/>
    <w:rsid w:val="0025606C"/>
    <w:rsid w:val="00262AE8"/>
    <w:rsid w:val="0026700A"/>
    <w:rsid w:val="00277BF2"/>
    <w:rsid w:val="0028371A"/>
    <w:rsid w:val="00284D4E"/>
    <w:rsid w:val="002855B7"/>
    <w:rsid w:val="00287C1E"/>
    <w:rsid w:val="002920F7"/>
    <w:rsid w:val="002927F7"/>
    <w:rsid w:val="00292E80"/>
    <w:rsid w:val="002A173E"/>
    <w:rsid w:val="002A183C"/>
    <w:rsid w:val="002A1DF4"/>
    <w:rsid w:val="002B2780"/>
    <w:rsid w:val="002B7EA8"/>
    <w:rsid w:val="002C0FD8"/>
    <w:rsid w:val="002D131A"/>
    <w:rsid w:val="002D165B"/>
    <w:rsid w:val="002D242F"/>
    <w:rsid w:val="002D2BBF"/>
    <w:rsid w:val="002D44AC"/>
    <w:rsid w:val="002D65D1"/>
    <w:rsid w:val="002D695F"/>
    <w:rsid w:val="002D7735"/>
    <w:rsid w:val="002D7E6A"/>
    <w:rsid w:val="002E18AB"/>
    <w:rsid w:val="002E199F"/>
    <w:rsid w:val="002E2450"/>
    <w:rsid w:val="002E26E8"/>
    <w:rsid w:val="002E4588"/>
    <w:rsid w:val="002E469B"/>
    <w:rsid w:val="002E6327"/>
    <w:rsid w:val="002F59AB"/>
    <w:rsid w:val="002F62BF"/>
    <w:rsid w:val="002F72C3"/>
    <w:rsid w:val="003006E8"/>
    <w:rsid w:val="00304941"/>
    <w:rsid w:val="00313797"/>
    <w:rsid w:val="00314F60"/>
    <w:rsid w:val="003155A3"/>
    <w:rsid w:val="003226BE"/>
    <w:rsid w:val="00324399"/>
    <w:rsid w:val="0036084A"/>
    <w:rsid w:val="003615DD"/>
    <w:rsid w:val="00376E07"/>
    <w:rsid w:val="003A1EDF"/>
    <w:rsid w:val="003A332E"/>
    <w:rsid w:val="003B1846"/>
    <w:rsid w:val="003B2630"/>
    <w:rsid w:val="003B36A0"/>
    <w:rsid w:val="003B396C"/>
    <w:rsid w:val="003B5129"/>
    <w:rsid w:val="003B5ACA"/>
    <w:rsid w:val="003D28B5"/>
    <w:rsid w:val="003D35E0"/>
    <w:rsid w:val="003E528D"/>
    <w:rsid w:val="003E5350"/>
    <w:rsid w:val="003F4519"/>
    <w:rsid w:val="003F67B7"/>
    <w:rsid w:val="00405FBE"/>
    <w:rsid w:val="00411DCA"/>
    <w:rsid w:val="00416978"/>
    <w:rsid w:val="00416C31"/>
    <w:rsid w:val="00417202"/>
    <w:rsid w:val="00420539"/>
    <w:rsid w:val="004277FD"/>
    <w:rsid w:val="00441A3B"/>
    <w:rsid w:val="0044321D"/>
    <w:rsid w:val="00450529"/>
    <w:rsid w:val="0045486B"/>
    <w:rsid w:val="00457706"/>
    <w:rsid w:val="0046015C"/>
    <w:rsid w:val="00462DBD"/>
    <w:rsid w:val="00465BC5"/>
    <w:rsid w:val="00474353"/>
    <w:rsid w:val="00482B02"/>
    <w:rsid w:val="004843E2"/>
    <w:rsid w:val="004906BA"/>
    <w:rsid w:val="00490ECB"/>
    <w:rsid w:val="004A537B"/>
    <w:rsid w:val="004A570C"/>
    <w:rsid w:val="004A6582"/>
    <w:rsid w:val="004A771A"/>
    <w:rsid w:val="004B23B4"/>
    <w:rsid w:val="004C3C4C"/>
    <w:rsid w:val="004C718C"/>
    <w:rsid w:val="004D250B"/>
    <w:rsid w:val="004E2DC9"/>
    <w:rsid w:val="004F36B9"/>
    <w:rsid w:val="004F6E29"/>
    <w:rsid w:val="004F7DC4"/>
    <w:rsid w:val="00503C60"/>
    <w:rsid w:val="005051EC"/>
    <w:rsid w:val="00514E8B"/>
    <w:rsid w:val="00517A5C"/>
    <w:rsid w:val="005245CA"/>
    <w:rsid w:val="005312C3"/>
    <w:rsid w:val="00533503"/>
    <w:rsid w:val="00534E6F"/>
    <w:rsid w:val="00537E6C"/>
    <w:rsid w:val="00542973"/>
    <w:rsid w:val="005453A5"/>
    <w:rsid w:val="005460A3"/>
    <w:rsid w:val="00546A5A"/>
    <w:rsid w:val="00553A6C"/>
    <w:rsid w:val="00563BAD"/>
    <w:rsid w:val="00571620"/>
    <w:rsid w:val="00574F5C"/>
    <w:rsid w:val="0058355E"/>
    <w:rsid w:val="00593265"/>
    <w:rsid w:val="00594EFB"/>
    <w:rsid w:val="005A2F86"/>
    <w:rsid w:val="005A4EBC"/>
    <w:rsid w:val="005B3E08"/>
    <w:rsid w:val="005B55DF"/>
    <w:rsid w:val="005B568B"/>
    <w:rsid w:val="005C5B77"/>
    <w:rsid w:val="005D08D1"/>
    <w:rsid w:val="005E0D28"/>
    <w:rsid w:val="005E1A47"/>
    <w:rsid w:val="0060074A"/>
    <w:rsid w:val="00601DE0"/>
    <w:rsid w:val="00602CE8"/>
    <w:rsid w:val="00606514"/>
    <w:rsid w:val="00611F2F"/>
    <w:rsid w:val="0061352C"/>
    <w:rsid w:val="00613B67"/>
    <w:rsid w:val="00614188"/>
    <w:rsid w:val="00615D22"/>
    <w:rsid w:val="006170F8"/>
    <w:rsid w:val="00621726"/>
    <w:rsid w:val="00622417"/>
    <w:rsid w:val="00627FC5"/>
    <w:rsid w:val="0063278C"/>
    <w:rsid w:val="0063763E"/>
    <w:rsid w:val="006410AA"/>
    <w:rsid w:val="006449ED"/>
    <w:rsid w:val="0065087E"/>
    <w:rsid w:val="0065486F"/>
    <w:rsid w:val="00655FF0"/>
    <w:rsid w:val="00666699"/>
    <w:rsid w:val="00666F42"/>
    <w:rsid w:val="00670D59"/>
    <w:rsid w:val="006734D6"/>
    <w:rsid w:val="00680AD0"/>
    <w:rsid w:val="00686F84"/>
    <w:rsid w:val="00693833"/>
    <w:rsid w:val="00694614"/>
    <w:rsid w:val="0069629A"/>
    <w:rsid w:val="00696A6A"/>
    <w:rsid w:val="006A09D9"/>
    <w:rsid w:val="006A6207"/>
    <w:rsid w:val="006B34A1"/>
    <w:rsid w:val="006B6DFB"/>
    <w:rsid w:val="006C039C"/>
    <w:rsid w:val="006C2752"/>
    <w:rsid w:val="006C4922"/>
    <w:rsid w:val="006C4A1D"/>
    <w:rsid w:val="006C51BA"/>
    <w:rsid w:val="006C5453"/>
    <w:rsid w:val="006D3039"/>
    <w:rsid w:val="006D7A08"/>
    <w:rsid w:val="006E3920"/>
    <w:rsid w:val="006E6ED4"/>
    <w:rsid w:val="006F64E7"/>
    <w:rsid w:val="007005A6"/>
    <w:rsid w:val="00707829"/>
    <w:rsid w:val="00711954"/>
    <w:rsid w:val="007138E2"/>
    <w:rsid w:val="00713EE7"/>
    <w:rsid w:val="007171C4"/>
    <w:rsid w:val="00717F4B"/>
    <w:rsid w:val="00720680"/>
    <w:rsid w:val="00720742"/>
    <w:rsid w:val="00720AB4"/>
    <w:rsid w:val="00723D4C"/>
    <w:rsid w:val="0073110A"/>
    <w:rsid w:val="00734053"/>
    <w:rsid w:val="007368AA"/>
    <w:rsid w:val="00736C94"/>
    <w:rsid w:val="00742AF3"/>
    <w:rsid w:val="00747FF2"/>
    <w:rsid w:val="00750C86"/>
    <w:rsid w:val="00754C15"/>
    <w:rsid w:val="00755F69"/>
    <w:rsid w:val="00760CEE"/>
    <w:rsid w:val="00764CFF"/>
    <w:rsid w:val="00765257"/>
    <w:rsid w:val="007673AE"/>
    <w:rsid w:val="00771D5F"/>
    <w:rsid w:val="00772002"/>
    <w:rsid w:val="00777AA1"/>
    <w:rsid w:val="00780F2C"/>
    <w:rsid w:val="00787856"/>
    <w:rsid w:val="007A17D7"/>
    <w:rsid w:val="007A29FE"/>
    <w:rsid w:val="007A2B08"/>
    <w:rsid w:val="007A2CA2"/>
    <w:rsid w:val="007B0463"/>
    <w:rsid w:val="007B0A84"/>
    <w:rsid w:val="007B4ACC"/>
    <w:rsid w:val="007B6E08"/>
    <w:rsid w:val="007C1779"/>
    <w:rsid w:val="007C397F"/>
    <w:rsid w:val="007C4684"/>
    <w:rsid w:val="007D4BDB"/>
    <w:rsid w:val="007E0F7E"/>
    <w:rsid w:val="007E4B48"/>
    <w:rsid w:val="007F0438"/>
    <w:rsid w:val="00806C34"/>
    <w:rsid w:val="00807403"/>
    <w:rsid w:val="00815F4A"/>
    <w:rsid w:val="008224F6"/>
    <w:rsid w:val="00825AF2"/>
    <w:rsid w:val="008314A6"/>
    <w:rsid w:val="00833CC0"/>
    <w:rsid w:val="00837738"/>
    <w:rsid w:val="00845A76"/>
    <w:rsid w:val="008465CF"/>
    <w:rsid w:val="00846EBF"/>
    <w:rsid w:val="00851FA5"/>
    <w:rsid w:val="00852148"/>
    <w:rsid w:val="00857A73"/>
    <w:rsid w:val="008617EC"/>
    <w:rsid w:val="0086349D"/>
    <w:rsid w:val="00863DDA"/>
    <w:rsid w:val="008660AE"/>
    <w:rsid w:val="00881F37"/>
    <w:rsid w:val="00882A95"/>
    <w:rsid w:val="00886B09"/>
    <w:rsid w:val="008918BC"/>
    <w:rsid w:val="0089339F"/>
    <w:rsid w:val="0089498E"/>
    <w:rsid w:val="008A65F3"/>
    <w:rsid w:val="008B02D2"/>
    <w:rsid w:val="008B3BC6"/>
    <w:rsid w:val="008B69AA"/>
    <w:rsid w:val="008C12AF"/>
    <w:rsid w:val="008C5033"/>
    <w:rsid w:val="008C6950"/>
    <w:rsid w:val="008C7D96"/>
    <w:rsid w:val="008D5C65"/>
    <w:rsid w:val="008E0717"/>
    <w:rsid w:val="008E385C"/>
    <w:rsid w:val="008E4C64"/>
    <w:rsid w:val="008E7483"/>
    <w:rsid w:val="008F0A9C"/>
    <w:rsid w:val="008F234B"/>
    <w:rsid w:val="0090744C"/>
    <w:rsid w:val="009124F9"/>
    <w:rsid w:val="00921FBD"/>
    <w:rsid w:val="0092572A"/>
    <w:rsid w:val="0093052F"/>
    <w:rsid w:val="009358D8"/>
    <w:rsid w:val="00941D1B"/>
    <w:rsid w:val="00944363"/>
    <w:rsid w:val="009444D6"/>
    <w:rsid w:val="00947DB3"/>
    <w:rsid w:val="00953910"/>
    <w:rsid w:val="00955A61"/>
    <w:rsid w:val="0095600C"/>
    <w:rsid w:val="0096128D"/>
    <w:rsid w:val="009766FC"/>
    <w:rsid w:val="00984A16"/>
    <w:rsid w:val="00986245"/>
    <w:rsid w:val="00990104"/>
    <w:rsid w:val="00990344"/>
    <w:rsid w:val="00992D73"/>
    <w:rsid w:val="0099783D"/>
    <w:rsid w:val="009A2A1E"/>
    <w:rsid w:val="009A4E93"/>
    <w:rsid w:val="009B0F1E"/>
    <w:rsid w:val="009B4A4B"/>
    <w:rsid w:val="009B566F"/>
    <w:rsid w:val="009B643B"/>
    <w:rsid w:val="009B6EC4"/>
    <w:rsid w:val="009C4D39"/>
    <w:rsid w:val="009C5D85"/>
    <w:rsid w:val="009C69C3"/>
    <w:rsid w:val="009D36E6"/>
    <w:rsid w:val="009D7C52"/>
    <w:rsid w:val="009E0CC3"/>
    <w:rsid w:val="009E28DE"/>
    <w:rsid w:val="009E30FA"/>
    <w:rsid w:val="009E77EC"/>
    <w:rsid w:val="009F2595"/>
    <w:rsid w:val="00A07157"/>
    <w:rsid w:val="00A143F3"/>
    <w:rsid w:val="00A213B6"/>
    <w:rsid w:val="00A21BAF"/>
    <w:rsid w:val="00A22117"/>
    <w:rsid w:val="00A25559"/>
    <w:rsid w:val="00A25AAA"/>
    <w:rsid w:val="00A46962"/>
    <w:rsid w:val="00A47ECA"/>
    <w:rsid w:val="00A50DD0"/>
    <w:rsid w:val="00A51468"/>
    <w:rsid w:val="00A64685"/>
    <w:rsid w:val="00A64BAA"/>
    <w:rsid w:val="00A65BF8"/>
    <w:rsid w:val="00A65FE9"/>
    <w:rsid w:val="00A70751"/>
    <w:rsid w:val="00A80145"/>
    <w:rsid w:val="00A831F3"/>
    <w:rsid w:val="00A84115"/>
    <w:rsid w:val="00A90F62"/>
    <w:rsid w:val="00A91002"/>
    <w:rsid w:val="00A926EC"/>
    <w:rsid w:val="00A9311E"/>
    <w:rsid w:val="00A9399A"/>
    <w:rsid w:val="00A96339"/>
    <w:rsid w:val="00A96F57"/>
    <w:rsid w:val="00AB4560"/>
    <w:rsid w:val="00AB533E"/>
    <w:rsid w:val="00AC4923"/>
    <w:rsid w:val="00AC77B3"/>
    <w:rsid w:val="00AD20D5"/>
    <w:rsid w:val="00AD2A9B"/>
    <w:rsid w:val="00AD44B9"/>
    <w:rsid w:val="00AD7325"/>
    <w:rsid w:val="00AE5336"/>
    <w:rsid w:val="00B03F82"/>
    <w:rsid w:val="00B06F3C"/>
    <w:rsid w:val="00B16280"/>
    <w:rsid w:val="00B1756D"/>
    <w:rsid w:val="00B20210"/>
    <w:rsid w:val="00B23F52"/>
    <w:rsid w:val="00B331CF"/>
    <w:rsid w:val="00B459D2"/>
    <w:rsid w:val="00B46940"/>
    <w:rsid w:val="00B47BE9"/>
    <w:rsid w:val="00B5110F"/>
    <w:rsid w:val="00B634D6"/>
    <w:rsid w:val="00B70DF7"/>
    <w:rsid w:val="00B70E60"/>
    <w:rsid w:val="00B71344"/>
    <w:rsid w:val="00B80F8E"/>
    <w:rsid w:val="00B8307C"/>
    <w:rsid w:val="00B84601"/>
    <w:rsid w:val="00B84E29"/>
    <w:rsid w:val="00B8710E"/>
    <w:rsid w:val="00B92A30"/>
    <w:rsid w:val="00BA3228"/>
    <w:rsid w:val="00BB2985"/>
    <w:rsid w:val="00BB3ACC"/>
    <w:rsid w:val="00BB3B59"/>
    <w:rsid w:val="00BC5CCD"/>
    <w:rsid w:val="00BC742C"/>
    <w:rsid w:val="00BC7C39"/>
    <w:rsid w:val="00BE6FF4"/>
    <w:rsid w:val="00BF01F6"/>
    <w:rsid w:val="00BF4581"/>
    <w:rsid w:val="00BF5317"/>
    <w:rsid w:val="00BF672D"/>
    <w:rsid w:val="00C1010E"/>
    <w:rsid w:val="00C113E4"/>
    <w:rsid w:val="00C11474"/>
    <w:rsid w:val="00C20C6A"/>
    <w:rsid w:val="00C44059"/>
    <w:rsid w:val="00C45922"/>
    <w:rsid w:val="00C46795"/>
    <w:rsid w:val="00C552F0"/>
    <w:rsid w:val="00C5555C"/>
    <w:rsid w:val="00C5635A"/>
    <w:rsid w:val="00C60AAE"/>
    <w:rsid w:val="00C64B48"/>
    <w:rsid w:val="00C64D2A"/>
    <w:rsid w:val="00C66238"/>
    <w:rsid w:val="00C720A2"/>
    <w:rsid w:val="00C72D6D"/>
    <w:rsid w:val="00C7374F"/>
    <w:rsid w:val="00C8379B"/>
    <w:rsid w:val="00C90BE1"/>
    <w:rsid w:val="00C95CE5"/>
    <w:rsid w:val="00CA3B60"/>
    <w:rsid w:val="00CA4C4C"/>
    <w:rsid w:val="00CA6892"/>
    <w:rsid w:val="00CA769C"/>
    <w:rsid w:val="00CB400B"/>
    <w:rsid w:val="00CB40E0"/>
    <w:rsid w:val="00CB764A"/>
    <w:rsid w:val="00CC0754"/>
    <w:rsid w:val="00CC09BC"/>
    <w:rsid w:val="00CC5270"/>
    <w:rsid w:val="00CC6E0F"/>
    <w:rsid w:val="00CC7FEB"/>
    <w:rsid w:val="00CD2C63"/>
    <w:rsid w:val="00CD6620"/>
    <w:rsid w:val="00CE0808"/>
    <w:rsid w:val="00CE1601"/>
    <w:rsid w:val="00CE2208"/>
    <w:rsid w:val="00CE2578"/>
    <w:rsid w:val="00CE5AA0"/>
    <w:rsid w:val="00CF2ABA"/>
    <w:rsid w:val="00CF7D7A"/>
    <w:rsid w:val="00D03276"/>
    <w:rsid w:val="00D11FC7"/>
    <w:rsid w:val="00D224B9"/>
    <w:rsid w:val="00D26335"/>
    <w:rsid w:val="00D2684D"/>
    <w:rsid w:val="00D26DC5"/>
    <w:rsid w:val="00D330BB"/>
    <w:rsid w:val="00D41C5B"/>
    <w:rsid w:val="00D51568"/>
    <w:rsid w:val="00D561E7"/>
    <w:rsid w:val="00D6088A"/>
    <w:rsid w:val="00D611E0"/>
    <w:rsid w:val="00D6313B"/>
    <w:rsid w:val="00D66CF0"/>
    <w:rsid w:val="00D67DC7"/>
    <w:rsid w:val="00D73956"/>
    <w:rsid w:val="00D7518F"/>
    <w:rsid w:val="00D87D49"/>
    <w:rsid w:val="00D92B53"/>
    <w:rsid w:val="00D95DA1"/>
    <w:rsid w:val="00DA02A8"/>
    <w:rsid w:val="00DA338D"/>
    <w:rsid w:val="00DA5280"/>
    <w:rsid w:val="00DB0868"/>
    <w:rsid w:val="00DB3962"/>
    <w:rsid w:val="00DB7312"/>
    <w:rsid w:val="00DB7626"/>
    <w:rsid w:val="00DC0A7A"/>
    <w:rsid w:val="00DC2554"/>
    <w:rsid w:val="00DC5DB5"/>
    <w:rsid w:val="00DC5F76"/>
    <w:rsid w:val="00DD1136"/>
    <w:rsid w:val="00DE1C5F"/>
    <w:rsid w:val="00DE723C"/>
    <w:rsid w:val="00DF418D"/>
    <w:rsid w:val="00E111D5"/>
    <w:rsid w:val="00E1461F"/>
    <w:rsid w:val="00E1562B"/>
    <w:rsid w:val="00E15CFD"/>
    <w:rsid w:val="00E22F51"/>
    <w:rsid w:val="00E33103"/>
    <w:rsid w:val="00E33F74"/>
    <w:rsid w:val="00E41EFF"/>
    <w:rsid w:val="00E43579"/>
    <w:rsid w:val="00E43A4C"/>
    <w:rsid w:val="00E4711A"/>
    <w:rsid w:val="00E579FF"/>
    <w:rsid w:val="00E6073B"/>
    <w:rsid w:val="00E66420"/>
    <w:rsid w:val="00E67509"/>
    <w:rsid w:val="00E70B7A"/>
    <w:rsid w:val="00E81520"/>
    <w:rsid w:val="00E834F7"/>
    <w:rsid w:val="00E85519"/>
    <w:rsid w:val="00E87BAA"/>
    <w:rsid w:val="00E87CB1"/>
    <w:rsid w:val="00E90A2E"/>
    <w:rsid w:val="00E91E2A"/>
    <w:rsid w:val="00E92DB0"/>
    <w:rsid w:val="00E9418C"/>
    <w:rsid w:val="00E947B1"/>
    <w:rsid w:val="00EA1B91"/>
    <w:rsid w:val="00EA327A"/>
    <w:rsid w:val="00EA4F13"/>
    <w:rsid w:val="00EB58BC"/>
    <w:rsid w:val="00EB618E"/>
    <w:rsid w:val="00EB6F9A"/>
    <w:rsid w:val="00EB76C9"/>
    <w:rsid w:val="00EC4174"/>
    <w:rsid w:val="00EC454E"/>
    <w:rsid w:val="00EC5382"/>
    <w:rsid w:val="00EC7460"/>
    <w:rsid w:val="00ED025C"/>
    <w:rsid w:val="00ED1606"/>
    <w:rsid w:val="00ED1E89"/>
    <w:rsid w:val="00ED79DA"/>
    <w:rsid w:val="00EE0E62"/>
    <w:rsid w:val="00EE2205"/>
    <w:rsid w:val="00EF7ECE"/>
    <w:rsid w:val="00F017A3"/>
    <w:rsid w:val="00F042CE"/>
    <w:rsid w:val="00F045F3"/>
    <w:rsid w:val="00F108B2"/>
    <w:rsid w:val="00F108C1"/>
    <w:rsid w:val="00F146F8"/>
    <w:rsid w:val="00F25F62"/>
    <w:rsid w:val="00F30F00"/>
    <w:rsid w:val="00F4065B"/>
    <w:rsid w:val="00F40BA5"/>
    <w:rsid w:val="00F4348E"/>
    <w:rsid w:val="00F45D10"/>
    <w:rsid w:val="00F55559"/>
    <w:rsid w:val="00F5763A"/>
    <w:rsid w:val="00F63486"/>
    <w:rsid w:val="00F737E9"/>
    <w:rsid w:val="00F8110B"/>
    <w:rsid w:val="00F906B6"/>
    <w:rsid w:val="00F936AE"/>
    <w:rsid w:val="00F96AC3"/>
    <w:rsid w:val="00FA5B75"/>
    <w:rsid w:val="00FB46FA"/>
    <w:rsid w:val="00FC0465"/>
    <w:rsid w:val="00FC3EDD"/>
    <w:rsid w:val="00FD2187"/>
    <w:rsid w:val="00FD4E87"/>
    <w:rsid w:val="00FE22CF"/>
    <w:rsid w:val="00FE3A57"/>
    <w:rsid w:val="00FE42B7"/>
    <w:rsid w:val="00FE748E"/>
    <w:rsid w:val="00FE74EB"/>
    <w:rsid w:val="00FF164B"/>
    <w:rsid w:val="00FF257C"/>
    <w:rsid w:val="00FF6B26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A5D7F"/>
  <w15:docId w15:val="{F5EB550A-F6A2-40E9-A09C-011F2EDA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7C397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C397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C397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C397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C397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3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397F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13010B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CA68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CD662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50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0DD0"/>
  </w:style>
  <w:style w:type="paragraph" w:styleId="Bunntekst">
    <w:name w:val="footer"/>
    <w:basedOn w:val="Normal"/>
    <w:link w:val="BunntekstTegn"/>
    <w:uiPriority w:val="99"/>
    <w:unhideWhenUsed/>
    <w:rsid w:val="00A50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0DD0"/>
  </w:style>
  <w:style w:type="character" w:styleId="Hyperkobling">
    <w:name w:val="Hyperlink"/>
    <w:basedOn w:val="Standardskriftforavsnitt"/>
    <w:uiPriority w:val="99"/>
    <w:unhideWhenUsed/>
    <w:rsid w:val="00417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oklus.no/Glukose-Diagnostikk-av-diabete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634C36C38D15469D3EF5AB5A92EE23" ma:contentTypeVersion="14" ma:contentTypeDescription="Opprett et nytt dokument." ma:contentTypeScope="" ma:versionID="6a1e7f106c8bdb8c7fb0f31126cc1ee7">
  <xsd:schema xmlns:xsd="http://www.w3.org/2001/XMLSchema" xmlns:xs="http://www.w3.org/2001/XMLSchema" xmlns:p="http://schemas.microsoft.com/office/2006/metadata/properties" xmlns:ns2="11576a9c-7d7e-4728-b741-ca70f76c5084" xmlns:ns3="47b758eb-894d-4781-a380-777ca4becf23" targetNamespace="http://schemas.microsoft.com/office/2006/metadata/properties" ma:root="true" ma:fieldsID="12c742cba2379095bb6b57d2d0018cb6" ns2:_="" ns3:_="">
    <xsd:import namespace="11576a9c-7d7e-4728-b741-ca70f76c5084"/>
    <xsd:import namespace="47b758eb-894d-4781-a380-777ca4bec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76a9c-7d7e-4728-b741-ca70f76c5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758eb-894d-4781-a380-777ca4becf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bdbafd-1a18-414f-845b-c324faf14805}" ma:internalName="TaxCatchAll" ma:showField="CatchAllData" ma:web="47b758eb-894d-4781-a380-777ca4bec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FB78A-F493-4588-98EC-40103007F53B}"/>
</file>

<file path=customXml/itemProps2.xml><?xml version="1.0" encoding="utf-8"?>
<ds:datastoreItem xmlns:ds="http://schemas.openxmlformats.org/officeDocument/2006/customXml" ds:itemID="{1FBC2380-C717-440B-8AE1-5958F2CFBD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Midt-Norge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Schwettmann, Lutz</dc:creator>
  <cp:lastModifiedBy>Wenche Iren Bjelkarøy</cp:lastModifiedBy>
  <cp:revision>3</cp:revision>
  <cp:lastPrinted>2021-06-03T13:40:00Z</cp:lastPrinted>
  <dcterms:created xsi:type="dcterms:W3CDTF">2023-01-26T09:02:00Z</dcterms:created>
  <dcterms:modified xsi:type="dcterms:W3CDTF">2023-04-27T13:12:00Z</dcterms:modified>
</cp:coreProperties>
</file>